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50B" w:rsidRDefault="00001FE6" w:rsidP="00374D9D">
      <w:pPr>
        <w:pStyle w:val="ConsPlusNormal"/>
        <w:jc w:val="center"/>
        <w:rPr>
          <w:rFonts w:ascii="Times New Roman" w:hAnsi="Times New Roman" w:cs="Times New Roman"/>
          <w:b/>
          <w:sz w:val="28"/>
          <w:szCs w:val="28"/>
        </w:rPr>
      </w:pPr>
      <w:bookmarkStart w:id="0" w:name="_GoBack"/>
      <w:bookmarkEnd w:id="0"/>
      <w:r w:rsidRPr="006D6EC9">
        <w:rPr>
          <w:rFonts w:ascii="Times New Roman" w:hAnsi="Times New Roman" w:cs="Times New Roman"/>
          <w:b/>
          <w:sz w:val="28"/>
          <w:szCs w:val="28"/>
        </w:rPr>
        <w:t xml:space="preserve">Обоснование </w:t>
      </w:r>
      <w:r w:rsidR="0054150B">
        <w:rPr>
          <w:rFonts w:ascii="Times New Roman" w:hAnsi="Times New Roman" w:cs="Times New Roman"/>
          <w:b/>
          <w:sz w:val="28"/>
          <w:szCs w:val="28"/>
        </w:rPr>
        <w:t>№</w:t>
      </w:r>
    </w:p>
    <w:p w:rsidR="0054150B" w:rsidRDefault="00001FE6" w:rsidP="00374D9D">
      <w:pPr>
        <w:pStyle w:val="ConsPlusNormal"/>
        <w:jc w:val="center"/>
        <w:rPr>
          <w:rFonts w:ascii="Times New Roman" w:hAnsi="Times New Roman" w:cs="Times New Roman"/>
          <w:b/>
          <w:sz w:val="28"/>
          <w:szCs w:val="28"/>
        </w:rPr>
      </w:pPr>
      <w:r w:rsidRPr="006D6EC9">
        <w:rPr>
          <w:rFonts w:ascii="Times New Roman" w:hAnsi="Times New Roman" w:cs="Times New Roman"/>
          <w:b/>
          <w:sz w:val="28"/>
          <w:szCs w:val="28"/>
        </w:rPr>
        <w:t>закупки у единственного поставщика в соответствие с ч.3 ст.93 44-ФЗ</w:t>
      </w:r>
    </w:p>
    <w:p w:rsidR="0054150B" w:rsidRDefault="0054150B" w:rsidP="00374D9D">
      <w:pPr>
        <w:pStyle w:val="ConsPlusNormal"/>
        <w:jc w:val="center"/>
        <w:rPr>
          <w:rFonts w:ascii="Times New Roman" w:hAnsi="Times New Roman" w:cs="Times New Roman"/>
          <w:b/>
          <w:sz w:val="28"/>
          <w:szCs w:val="28"/>
        </w:rPr>
      </w:pPr>
    </w:p>
    <w:p w:rsidR="0054150B" w:rsidRPr="0054150B" w:rsidRDefault="0054150B" w:rsidP="0054150B">
      <w:pPr>
        <w:autoSpaceDE w:val="0"/>
        <w:autoSpaceDN w:val="0"/>
        <w:adjustRightInd w:val="0"/>
        <w:jc w:val="right"/>
        <w:rPr>
          <w:rFonts w:eastAsia="Calibri"/>
          <w:bCs/>
        </w:rPr>
      </w:pPr>
      <w:r w:rsidRPr="0054150B">
        <w:rPr>
          <w:rFonts w:eastAsia="Calibri"/>
          <w:bCs/>
        </w:rPr>
        <w:t>« __ » ___________ 20 __ г.</w:t>
      </w:r>
    </w:p>
    <w:p w:rsidR="00001FE6" w:rsidRPr="00001FE6" w:rsidRDefault="00001FE6" w:rsidP="00001FE6">
      <w:pPr>
        <w:autoSpaceDE w:val="0"/>
        <w:autoSpaceDN w:val="0"/>
        <w:adjustRightInd w:val="0"/>
        <w:jc w:val="both"/>
        <w:rPr>
          <w:b/>
          <w:bCs/>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7"/>
        <w:gridCol w:w="7007"/>
      </w:tblGrid>
      <w:tr w:rsidR="00001FE6" w:rsidRPr="009D4BD7" w:rsidTr="009D4BD7">
        <w:tc>
          <w:tcPr>
            <w:tcW w:w="3227" w:type="dxa"/>
            <w:shd w:val="clear" w:color="auto" w:fill="auto"/>
          </w:tcPr>
          <w:p w:rsidR="00001FE6" w:rsidRPr="00801977" w:rsidRDefault="00001FE6" w:rsidP="00374D9D">
            <w:pPr>
              <w:autoSpaceDE w:val="0"/>
              <w:autoSpaceDN w:val="0"/>
              <w:adjustRightInd w:val="0"/>
              <w:rPr>
                <w:rFonts w:eastAsia="Calibri"/>
                <w:bCs/>
              </w:rPr>
            </w:pPr>
            <w:r w:rsidRPr="00801977">
              <w:rPr>
                <w:rFonts w:eastAsia="Calibri"/>
                <w:bCs/>
              </w:rPr>
              <w:t>Наименование заказчика</w:t>
            </w:r>
          </w:p>
        </w:tc>
        <w:tc>
          <w:tcPr>
            <w:tcW w:w="7193" w:type="dxa"/>
            <w:shd w:val="clear" w:color="auto" w:fill="auto"/>
          </w:tcPr>
          <w:p w:rsidR="00001FE6" w:rsidRPr="009D4BD7" w:rsidRDefault="00001FE6" w:rsidP="00374D9D">
            <w:pPr>
              <w:autoSpaceDE w:val="0"/>
              <w:autoSpaceDN w:val="0"/>
              <w:adjustRightInd w:val="0"/>
              <w:rPr>
                <w:rFonts w:eastAsia="Calibri"/>
                <w:bCs/>
              </w:rPr>
            </w:pPr>
          </w:p>
        </w:tc>
      </w:tr>
      <w:tr w:rsidR="00001FE6" w:rsidRPr="009D4BD7" w:rsidTr="009D4BD7">
        <w:tc>
          <w:tcPr>
            <w:tcW w:w="3227" w:type="dxa"/>
            <w:shd w:val="clear" w:color="auto" w:fill="auto"/>
          </w:tcPr>
          <w:p w:rsidR="00001FE6" w:rsidRPr="00801977" w:rsidRDefault="00001FE6" w:rsidP="00374D9D">
            <w:pPr>
              <w:autoSpaceDE w:val="0"/>
              <w:autoSpaceDN w:val="0"/>
              <w:adjustRightInd w:val="0"/>
              <w:rPr>
                <w:rFonts w:eastAsia="Calibri"/>
                <w:bCs/>
              </w:rPr>
            </w:pPr>
            <w:r w:rsidRPr="00801977">
              <w:rPr>
                <w:rFonts w:eastAsia="Calibri"/>
                <w:bCs/>
              </w:rPr>
              <w:t>Место нахождения</w:t>
            </w:r>
          </w:p>
        </w:tc>
        <w:tc>
          <w:tcPr>
            <w:tcW w:w="7193" w:type="dxa"/>
            <w:shd w:val="clear" w:color="auto" w:fill="auto"/>
          </w:tcPr>
          <w:p w:rsidR="00001FE6" w:rsidRPr="003154A3" w:rsidRDefault="00001FE6" w:rsidP="00374D9D">
            <w:pPr>
              <w:autoSpaceDE w:val="0"/>
              <w:autoSpaceDN w:val="0"/>
              <w:adjustRightInd w:val="0"/>
              <w:rPr>
                <w:rFonts w:eastAsia="Calibri"/>
                <w:bCs/>
              </w:rPr>
            </w:pPr>
          </w:p>
        </w:tc>
      </w:tr>
      <w:tr w:rsidR="00001FE6" w:rsidRPr="009D4BD7" w:rsidTr="009D4BD7">
        <w:tc>
          <w:tcPr>
            <w:tcW w:w="3227" w:type="dxa"/>
            <w:shd w:val="clear" w:color="auto" w:fill="auto"/>
          </w:tcPr>
          <w:p w:rsidR="00001FE6" w:rsidRPr="00801977" w:rsidRDefault="00001FE6" w:rsidP="00374D9D">
            <w:pPr>
              <w:autoSpaceDE w:val="0"/>
              <w:autoSpaceDN w:val="0"/>
              <w:adjustRightInd w:val="0"/>
              <w:rPr>
                <w:rFonts w:eastAsia="Calibri"/>
                <w:bCs/>
              </w:rPr>
            </w:pPr>
            <w:r w:rsidRPr="00801977">
              <w:rPr>
                <w:rFonts w:eastAsia="Calibri"/>
                <w:bCs/>
              </w:rPr>
              <w:t>Почтовый адрес</w:t>
            </w:r>
          </w:p>
        </w:tc>
        <w:tc>
          <w:tcPr>
            <w:tcW w:w="7193" w:type="dxa"/>
            <w:shd w:val="clear" w:color="auto" w:fill="auto"/>
          </w:tcPr>
          <w:p w:rsidR="00001FE6" w:rsidRPr="009D4BD7" w:rsidRDefault="00001FE6" w:rsidP="00374D9D">
            <w:pPr>
              <w:autoSpaceDE w:val="0"/>
              <w:autoSpaceDN w:val="0"/>
              <w:adjustRightInd w:val="0"/>
              <w:rPr>
                <w:rFonts w:eastAsia="Calibri"/>
                <w:bCs/>
              </w:rPr>
            </w:pPr>
          </w:p>
        </w:tc>
      </w:tr>
      <w:tr w:rsidR="00001FE6" w:rsidRPr="009D4BD7" w:rsidTr="009D4BD7">
        <w:tc>
          <w:tcPr>
            <w:tcW w:w="3227" w:type="dxa"/>
            <w:shd w:val="clear" w:color="auto" w:fill="auto"/>
          </w:tcPr>
          <w:p w:rsidR="00001FE6" w:rsidRPr="00801977" w:rsidRDefault="00001FE6" w:rsidP="00374D9D">
            <w:pPr>
              <w:autoSpaceDE w:val="0"/>
              <w:autoSpaceDN w:val="0"/>
              <w:adjustRightInd w:val="0"/>
              <w:rPr>
                <w:rFonts w:eastAsia="Calibri"/>
                <w:bCs/>
              </w:rPr>
            </w:pPr>
            <w:r w:rsidRPr="00801977">
              <w:rPr>
                <w:rFonts w:eastAsia="Calibri"/>
                <w:bCs/>
              </w:rPr>
              <w:t>Адрес электронной почты</w:t>
            </w:r>
          </w:p>
        </w:tc>
        <w:tc>
          <w:tcPr>
            <w:tcW w:w="7193" w:type="dxa"/>
            <w:shd w:val="clear" w:color="auto" w:fill="auto"/>
          </w:tcPr>
          <w:p w:rsidR="00001FE6" w:rsidRPr="00374D9D" w:rsidRDefault="00001FE6" w:rsidP="00374D9D">
            <w:pPr>
              <w:autoSpaceDE w:val="0"/>
              <w:autoSpaceDN w:val="0"/>
              <w:adjustRightInd w:val="0"/>
              <w:rPr>
                <w:rFonts w:eastAsia="Calibri"/>
                <w:bCs/>
              </w:rPr>
            </w:pPr>
          </w:p>
        </w:tc>
      </w:tr>
      <w:tr w:rsidR="00001FE6" w:rsidRPr="009D4BD7" w:rsidTr="009D4BD7">
        <w:tc>
          <w:tcPr>
            <w:tcW w:w="3227" w:type="dxa"/>
            <w:shd w:val="clear" w:color="auto" w:fill="auto"/>
          </w:tcPr>
          <w:p w:rsidR="00001FE6" w:rsidRPr="00801977" w:rsidRDefault="00001FE6" w:rsidP="00374D9D">
            <w:pPr>
              <w:autoSpaceDE w:val="0"/>
              <w:autoSpaceDN w:val="0"/>
              <w:adjustRightInd w:val="0"/>
              <w:rPr>
                <w:rFonts w:eastAsia="Calibri"/>
                <w:bCs/>
              </w:rPr>
            </w:pPr>
            <w:r w:rsidRPr="00801977">
              <w:rPr>
                <w:rFonts w:eastAsia="Calibri"/>
                <w:bCs/>
              </w:rPr>
              <w:t>Номер контактного телефона</w:t>
            </w:r>
          </w:p>
        </w:tc>
        <w:tc>
          <w:tcPr>
            <w:tcW w:w="7193" w:type="dxa"/>
            <w:shd w:val="clear" w:color="auto" w:fill="auto"/>
          </w:tcPr>
          <w:p w:rsidR="00001FE6" w:rsidRPr="00374D9D" w:rsidRDefault="00001FE6" w:rsidP="00374D9D">
            <w:pPr>
              <w:autoSpaceDE w:val="0"/>
              <w:autoSpaceDN w:val="0"/>
              <w:adjustRightInd w:val="0"/>
              <w:rPr>
                <w:rFonts w:eastAsia="Calibri"/>
                <w:bCs/>
              </w:rPr>
            </w:pPr>
          </w:p>
        </w:tc>
      </w:tr>
      <w:tr w:rsidR="00001FE6" w:rsidRPr="009D4BD7" w:rsidTr="009D4BD7">
        <w:tc>
          <w:tcPr>
            <w:tcW w:w="3227" w:type="dxa"/>
            <w:shd w:val="clear" w:color="auto" w:fill="auto"/>
          </w:tcPr>
          <w:p w:rsidR="00001FE6" w:rsidRPr="00801977" w:rsidRDefault="00001FE6" w:rsidP="00374D9D">
            <w:pPr>
              <w:autoSpaceDE w:val="0"/>
              <w:autoSpaceDN w:val="0"/>
              <w:adjustRightInd w:val="0"/>
              <w:rPr>
                <w:rFonts w:eastAsia="Calibri"/>
                <w:bCs/>
              </w:rPr>
            </w:pPr>
            <w:r w:rsidRPr="00801977">
              <w:rPr>
                <w:rFonts w:eastAsia="Calibri"/>
                <w:bCs/>
              </w:rPr>
              <w:t>Ответственное должностное лицо заказчика</w:t>
            </w:r>
          </w:p>
        </w:tc>
        <w:tc>
          <w:tcPr>
            <w:tcW w:w="7193" w:type="dxa"/>
            <w:shd w:val="clear" w:color="auto" w:fill="auto"/>
          </w:tcPr>
          <w:p w:rsidR="00001FE6" w:rsidRPr="00A242E7" w:rsidRDefault="00001FE6" w:rsidP="00374D9D">
            <w:pPr>
              <w:autoSpaceDE w:val="0"/>
              <w:autoSpaceDN w:val="0"/>
              <w:adjustRightInd w:val="0"/>
              <w:rPr>
                <w:rFonts w:eastAsia="Calibri"/>
                <w:bCs/>
              </w:rPr>
            </w:pPr>
          </w:p>
        </w:tc>
      </w:tr>
    </w:tbl>
    <w:p w:rsidR="00001FE6" w:rsidRPr="009D4BD7" w:rsidRDefault="00001FE6" w:rsidP="00001FE6">
      <w:pPr>
        <w:autoSpaceDE w:val="0"/>
        <w:autoSpaceDN w:val="0"/>
        <w:adjustRightInd w:val="0"/>
        <w:jc w:val="both"/>
        <w:rPr>
          <w:rFonts w:eastAsia="Calibri"/>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3"/>
        <w:gridCol w:w="7001"/>
      </w:tblGrid>
      <w:tr w:rsidR="00001FE6" w:rsidRPr="009D4BD7" w:rsidTr="009D4BD7">
        <w:tc>
          <w:tcPr>
            <w:tcW w:w="3227" w:type="dxa"/>
            <w:shd w:val="clear" w:color="auto" w:fill="auto"/>
          </w:tcPr>
          <w:p w:rsidR="00001FE6" w:rsidRPr="009D4BD7" w:rsidRDefault="00001FE6" w:rsidP="00374D9D">
            <w:pPr>
              <w:autoSpaceDE w:val="0"/>
              <w:autoSpaceDN w:val="0"/>
              <w:adjustRightInd w:val="0"/>
              <w:rPr>
                <w:rFonts w:eastAsia="Calibri"/>
                <w:bCs/>
              </w:rPr>
            </w:pPr>
            <w:r w:rsidRPr="009D4BD7">
              <w:rPr>
                <w:rFonts w:eastAsia="Calibri"/>
                <w:bCs/>
              </w:rPr>
              <w:t>Предмет контракта</w:t>
            </w:r>
          </w:p>
        </w:tc>
        <w:tc>
          <w:tcPr>
            <w:tcW w:w="7193" w:type="dxa"/>
            <w:shd w:val="clear" w:color="auto" w:fill="auto"/>
          </w:tcPr>
          <w:p w:rsidR="00001FE6" w:rsidRPr="00F0589E" w:rsidRDefault="00001FE6" w:rsidP="00374D9D">
            <w:pPr>
              <w:autoSpaceDE w:val="0"/>
              <w:autoSpaceDN w:val="0"/>
              <w:adjustRightInd w:val="0"/>
              <w:rPr>
                <w:rFonts w:eastAsia="Calibri"/>
                <w:bCs/>
              </w:rPr>
            </w:pPr>
          </w:p>
        </w:tc>
      </w:tr>
      <w:tr w:rsidR="00001FE6" w:rsidRPr="009D4BD7" w:rsidTr="009D4BD7">
        <w:tc>
          <w:tcPr>
            <w:tcW w:w="3227" w:type="dxa"/>
            <w:shd w:val="clear" w:color="auto" w:fill="auto"/>
          </w:tcPr>
          <w:p w:rsidR="00001FE6" w:rsidRPr="009D4BD7" w:rsidRDefault="00001FE6" w:rsidP="00374D9D">
            <w:pPr>
              <w:autoSpaceDE w:val="0"/>
              <w:autoSpaceDN w:val="0"/>
              <w:adjustRightInd w:val="0"/>
              <w:rPr>
                <w:rFonts w:eastAsia="Calibri"/>
                <w:bCs/>
              </w:rPr>
            </w:pPr>
            <w:r w:rsidRPr="009D4BD7">
              <w:rPr>
                <w:rFonts w:eastAsia="Calibri"/>
                <w:bCs/>
              </w:rPr>
              <w:t>Способ закупки</w:t>
            </w:r>
          </w:p>
        </w:tc>
        <w:tc>
          <w:tcPr>
            <w:tcW w:w="7193" w:type="dxa"/>
            <w:shd w:val="clear" w:color="auto" w:fill="auto"/>
          </w:tcPr>
          <w:p w:rsidR="00001FE6" w:rsidRPr="00374D9D" w:rsidRDefault="00001FE6" w:rsidP="00374D9D">
            <w:pPr>
              <w:autoSpaceDE w:val="0"/>
              <w:autoSpaceDN w:val="0"/>
              <w:adjustRightInd w:val="0"/>
              <w:rPr>
                <w:rFonts w:eastAsia="Calibri"/>
                <w:bCs/>
              </w:rPr>
            </w:pPr>
            <w:r w:rsidRPr="00374D9D">
              <w:rPr>
                <w:rFonts w:eastAsia="Calibri"/>
                <w:bCs/>
              </w:rPr>
              <w:t>Закупка у единственного поставщика</w:t>
            </w:r>
          </w:p>
        </w:tc>
      </w:tr>
      <w:tr w:rsidR="00001FE6" w:rsidRPr="00374D9D" w:rsidTr="009D4BD7">
        <w:tc>
          <w:tcPr>
            <w:tcW w:w="3227" w:type="dxa"/>
            <w:shd w:val="clear" w:color="auto" w:fill="auto"/>
          </w:tcPr>
          <w:p w:rsidR="00001FE6" w:rsidRPr="00374D9D" w:rsidRDefault="00001FE6" w:rsidP="00374D9D">
            <w:pPr>
              <w:autoSpaceDE w:val="0"/>
              <w:autoSpaceDN w:val="0"/>
              <w:adjustRightInd w:val="0"/>
              <w:rPr>
                <w:rFonts w:eastAsia="Calibri"/>
                <w:bCs/>
              </w:rPr>
            </w:pPr>
            <w:r w:rsidRPr="00374D9D">
              <w:rPr>
                <w:rFonts w:eastAsia="Calibri"/>
                <w:bCs/>
              </w:rPr>
              <w:t>Цена контракта</w:t>
            </w:r>
          </w:p>
        </w:tc>
        <w:tc>
          <w:tcPr>
            <w:tcW w:w="7193" w:type="dxa"/>
            <w:shd w:val="clear" w:color="auto" w:fill="auto"/>
          </w:tcPr>
          <w:p w:rsidR="00001FE6" w:rsidRPr="00374D9D" w:rsidRDefault="00001FE6" w:rsidP="00075F13">
            <w:pPr>
              <w:autoSpaceDE w:val="0"/>
              <w:autoSpaceDN w:val="0"/>
              <w:adjustRightInd w:val="0"/>
              <w:rPr>
                <w:rFonts w:eastAsia="Calibri"/>
                <w:bCs/>
              </w:rPr>
            </w:pPr>
          </w:p>
        </w:tc>
      </w:tr>
      <w:tr w:rsidR="00001FE6" w:rsidRPr="00374D9D" w:rsidTr="009D4BD7">
        <w:tc>
          <w:tcPr>
            <w:tcW w:w="3227" w:type="dxa"/>
            <w:shd w:val="clear" w:color="auto" w:fill="auto"/>
          </w:tcPr>
          <w:p w:rsidR="00001FE6" w:rsidRPr="00374D9D" w:rsidRDefault="00332161" w:rsidP="00374D9D">
            <w:pPr>
              <w:autoSpaceDE w:val="0"/>
              <w:autoSpaceDN w:val="0"/>
              <w:adjustRightInd w:val="0"/>
              <w:rPr>
                <w:rFonts w:eastAsia="Calibri"/>
                <w:bCs/>
              </w:rPr>
            </w:pPr>
            <w:r w:rsidRPr="00374D9D">
              <w:rPr>
                <w:rFonts w:eastAsia="Calibri"/>
                <w:bCs/>
              </w:rPr>
              <w:t xml:space="preserve">1. </w:t>
            </w:r>
            <w:r w:rsidR="00001FE6" w:rsidRPr="00374D9D">
              <w:rPr>
                <w:rFonts w:eastAsia="Calibri"/>
                <w:bCs/>
              </w:rPr>
              <w:t>Обоснование невозможности (или нецелесообразности) использования иных способов определения поставщика)</w:t>
            </w:r>
          </w:p>
          <w:p w:rsidR="00001FE6" w:rsidRPr="00374D9D" w:rsidRDefault="00001FE6" w:rsidP="00374D9D">
            <w:pPr>
              <w:autoSpaceDE w:val="0"/>
              <w:autoSpaceDN w:val="0"/>
              <w:adjustRightInd w:val="0"/>
              <w:rPr>
                <w:rFonts w:eastAsia="Calibri"/>
                <w:bCs/>
              </w:rPr>
            </w:pPr>
            <w:r w:rsidRPr="00374D9D">
              <w:rPr>
                <w:rFonts w:eastAsia="Calibri"/>
                <w:bCs/>
              </w:rPr>
              <w:t>(ч.3 ст.93 44-ФЗ)</w:t>
            </w:r>
          </w:p>
        </w:tc>
        <w:tc>
          <w:tcPr>
            <w:tcW w:w="7193" w:type="dxa"/>
            <w:shd w:val="clear" w:color="auto" w:fill="auto"/>
          </w:tcPr>
          <w:p w:rsidR="00F62D34" w:rsidRPr="00374D9D" w:rsidRDefault="00635B3E" w:rsidP="00374D9D">
            <w:pPr>
              <w:autoSpaceDE w:val="0"/>
              <w:autoSpaceDN w:val="0"/>
              <w:adjustRightInd w:val="0"/>
              <w:rPr>
                <w:rFonts w:eastAsia="Calibri"/>
                <w:bCs/>
              </w:rPr>
            </w:pPr>
            <w:r w:rsidRPr="00374D9D">
              <w:rPr>
                <w:rFonts w:eastAsia="Calibri"/>
                <w:bCs/>
              </w:rPr>
              <w:t xml:space="preserve">Заказчиком проведен анализ рынка с целью поиска идентичных или однородных </w:t>
            </w:r>
            <w:r w:rsidR="009D4BD7" w:rsidRPr="00374D9D">
              <w:rPr>
                <w:rFonts w:eastAsia="Calibri"/>
                <w:bCs/>
              </w:rPr>
              <w:t>услуг</w:t>
            </w:r>
            <w:r w:rsidRPr="00374D9D">
              <w:rPr>
                <w:rFonts w:eastAsia="Calibri"/>
                <w:bCs/>
              </w:rPr>
              <w:t xml:space="preserve"> с аналогичными потребительскими свойствами. Поиск ценовой информации проведен в реестре контрактов </w:t>
            </w:r>
            <w:r w:rsidR="00F62D34" w:rsidRPr="00374D9D">
              <w:rPr>
                <w:rFonts w:eastAsia="Calibri"/>
                <w:bCs/>
              </w:rPr>
              <w:t xml:space="preserve">общероссийского </w:t>
            </w:r>
            <w:r w:rsidRPr="00374D9D">
              <w:rPr>
                <w:rFonts w:eastAsia="Calibri"/>
                <w:bCs/>
              </w:rPr>
              <w:t>официального сайта</w:t>
            </w:r>
            <w:r w:rsidR="00A37A6D">
              <w:rPr>
                <w:rFonts w:eastAsia="Calibri"/>
                <w:bCs/>
              </w:rPr>
              <w:t>,</w:t>
            </w:r>
            <w:r w:rsidR="00F62D34" w:rsidRPr="00374D9D">
              <w:rPr>
                <w:rFonts w:eastAsia="Calibri"/>
                <w:bCs/>
              </w:rPr>
              <w:t xml:space="preserve"> Портала поставщико</w:t>
            </w:r>
            <w:r w:rsidR="00A37A6D">
              <w:rPr>
                <w:rFonts w:eastAsia="Calibri"/>
                <w:bCs/>
              </w:rPr>
              <w:t xml:space="preserve">в </w:t>
            </w:r>
            <w:r w:rsidR="00A37A6D" w:rsidRPr="00374D9D">
              <w:rPr>
                <w:rFonts w:eastAsia="Calibri"/>
                <w:bCs/>
              </w:rPr>
              <w:t>и с помощью сети Интернет</w:t>
            </w:r>
            <w:r w:rsidR="00A37A6D">
              <w:rPr>
                <w:rFonts w:eastAsia="Calibri"/>
                <w:bCs/>
              </w:rPr>
              <w:t>.</w:t>
            </w:r>
            <w:r w:rsidR="00A37A6D" w:rsidRPr="00374D9D">
              <w:rPr>
                <w:rFonts w:eastAsia="Calibri"/>
                <w:bCs/>
              </w:rPr>
              <w:t xml:space="preserve"> </w:t>
            </w:r>
            <w:r w:rsidR="00A37A6D">
              <w:rPr>
                <w:rFonts w:eastAsia="Calibri"/>
                <w:bCs/>
              </w:rPr>
              <w:t>Был выявлен</w:t>
            </w:r>
            <w:r w:rsidR="009D4BD7" w:rsidRPr="00374D9D">
              <w:rPr>
                <w:rFonts w:eastAsia="Calibri"/>
                <w:bCs/>
              </w:rPr>
              <w:t xml:space="preserve"> целый спектр подобных товаров.</w:t>
            </w:r>
            <w:r w:rsidR="00F62D34" w:rsidRPr="00374D9D">
              <w:rPr>
                <w:rFonts w:eastAsia="Calibri"/>
                <w:bCs/>
              </w:rPr>
              <w:t xml:space="preserve"> На основе выбранных 3 предложений произведён анализ средней цены по рынку методом сопоставимых рыночных цен.</w:t>
            </w:r>
          </w:p>
          <w:p w:rsidR="00001FE6" w:rsidRPr="00895991" w:rsidRDefault="00F62D34" w:rsidP="005272E9">
            <w:pPr>
              <w:autoSpaceDE w:val="0"/>
              <w:autoSpaceDN w:val="0"/>
              <w:adjustRightInd w:val="0"/>
              <w:rPr>
                <w:rFonts w:eastAsia="Calibri"/>
                <w:bCs/>
              </w:rPr>
            </w:pPr>
            <w:r w:rsidRPr="00374D9D">
              <w:rPr>
                <w:rFonts w:eastAsia="Calibri"/>
                <w:bCs/>
              </w:rPr>
              <w:t>Из-за малости цены контракта Заказчик заключает, что проведение конкурентных процедур, предусмотренных Федеральным законом 44-ФЗ от 05.04.2013, по стоимости будет превышать выгоду от определения поставщика подобными метод</w:t>
            </w:r>
            <w:r w:rsidR="009D4BD7" w:rsidRPr="00374D9D">
              <w:rPr>
                <w:rFonts w:eastAsia="Calibri"/>
                <w:bCs/>
              </w:rPr>
              <w:t>а</w:t>
            </w:r>
            <w:r w:rsidRPr="00374D9D">
              <w:rPr>
                <w:rFonts w:eastAsia="Calibri"/>
                <w:bCs/>
              </w:rPr>
              <w:t>ми. Поэтому была выбрана закупка у единственного поставщика, предусмотренная с ч</w:t>
            </w:r>
            <w:r w:rsidR="005272E9">
              <w:rPr>
                <w:rFonts w:eastAsia="Calibri"/>
                <w:bCs/>
              </w:rPr>
              <w:t xml:space="preserve">астями </w:t>
            </w:r>
            <w:r w:rsidRPr="00374D9D">
              <w:rPr>
                <w:rFonts w:eastAsia="Calibri"/>
                <w:bCs/>
              </w:rPr>
              <w:t>4 и 5 ст.93 44-ФЗ</w:t>
            </w:r>
          </w:p>
        </w:tc>
      </w:tr>
      <w:tr w:rsidR="00001FE6" w:rsidRPr="00374D9D" w:rsidTr="009D4BD7">
        <w:trPr>
          <w:trHeight w:val="2700"/>
        </w:trPr>
        <w:tc>
          <w:tcPr>
            <w:tcW w:w="3227" w:type="dxa"/>
            <w:shd w:val="clear" w:color="auto" w:fill="auto"/>
          </w:tcPr>
          <w:p w:rsidR="00001FE6" w:rsidRPr="00374D9D" w:rsidRDefault="00332161" w:rsidP="00374D9D">
            <w:pPr>
              <w:autoSpaceDE w:val="0"/>
              <w:autoSpaceDN w:val="0"/>
              <w:adjustRightInd w:val="0"/>
              <w:rPr>
                <w:rFonts w:eastAsia="Calibri"/>
                <w:bCs/>
              </w:rPr>
            </w:pPr>
            <w:r w:rsidRPr="00374D9D">
              <w:rPr>
                <w:rFonts w:eastAsia="Calibri"/>
                <w:bCs/>
              </w:rPr>
              <w:t xml:space="preserve">2. </w:t>
            </w:r>
            <w:r w:rsidR="00001FE6" w:rsidRPr="00374D9D">
              <w:rPr>
                <w:rFonts w:eastAsia="Calibri"/>
                <w:bCs/>
              </w:rPr>
              <w:t>Обоснование цены</w:t>
            </w:r>
          </w:p>
          <w:p w:rsidR="00001FE6" w:rsidRPr="00374D9D" w:rsidRDefault="00FC1287" w:rsidP="00374D9D">
            <w:pPr>
              <w:autoSpaceDE w:val="0"/>
              <w:autoSpaceDN w:val="0"/>
              <w:adjustRightInd w:val="0"/>
              <w:rPr>
                <w:rFonts w:eastAsia="Calibri"/>
                <w:bCs/>
              </w:rPr>
            </w:pPr>
            <w:r w:rsidRPr="00374D9D">
              <w:rPr>
                <w:rFonts w:eastAsia="Calibri"/>
                <w:bCs/>
              </w:rPr>
              <w:t>(ч</w:t>
            </w:r>
            <w:r w:rsidR="00001FE6" w:rsidRPr="00374D9D">
              <w:rPr>
                <w:rFonts w:eastAsia="Calibri"/>
                <w:bCs/>
              </w:rPr>
              <w:t>.3 ст.93 44-ФЗ</w:t>
            </w:r>
            <w:r w:rsidRPr="00374D9D">
              <w:rPr>
                <w:rFonts w:eastAsia="Calibri"/>
                <w:bCs/>
              </w:rPr>
              <w:t>)</w:t>
            </w:r>
          </w:p>
        </w:tc>
        <w:tc>
          <w:tcPr>
            <w:tcW w:w="7193" w:type="dxa"/>
            <w:shd w:val="clear" w:color="auto" w:fill="auto"/>
          </w:tcPr>
          <w:p w:rsidR="00FC1287" w:rsidRPr="00374D9D" w:rsidRDefault="00FC1287" w:rsidP="00374D9D">
            <w:pPr>
              <w:autoSpaceDE w:val="0"/>
              <w:autoSpaceDN w:val="0"/>
              <w:adjustRightInd w:val="0"/>
              <w:rPr>
                <w:rFonts w:eastAsia="Calibri"/>
                <w:bCs/>
              </w:rPr>
            </w:pPr>
            <w:r w:rsidRPr="00374D9D">
              <w:rPr>
                <w:rFonts w:eastAsia="Calibri"/>
                <w:bCs/>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r w:rsidR="00801977" w:rsidRPr="00374D9D">
              <w:rPr>
                <w:rFonts w:eastAsia="Calibri"/>
                <w:bCs/>
              </w:rPr>
              <w:t xml:space="preserve"> (ч.2 ст.22 44-ФЗ).</w:t>
            </w:r>
          </w:p>
          <w:p w:rsidR="00FC1287" w:rsidRPr="00374D9D" w:rsidRDefault="00FC1287" w:rsidP="00374D9D">
            <w:pPr>
              <w:autoSpaceDE w:val="0"/>
              <w:autoSpaceDN w:val="0"/>
              <w:adjustRightInd w:val="0"/>
              <w:rPr>
                <w:rFonts w:eastAsia="Calibri"/>
                <w:bCs/>
              </w:rPr>
            </w:pPr>
            <w:r w:rsidRPr="00374D9D">
              <w:rPr>
                <w:rFonts w:eastAsia="Calibri"/>
                <w:bCs/>
              </w:rPr>
              <w:t xml:space="preserve">Идентичными товарами, работами, услугами признаются товары, работы, услуги, имеющие одинаковые характерные для них основные признаки. При определении идентичности товаров незначительные различия во внешнем виде таких товаров могут не учитываться. 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w:t>
            </w:r>
          </w:p>
          <w:p w:rsidR="00001FE6" w:rsidRPr="00374D9D" w:rsidRDefault="00F62D34" w:rsidP="00374D9D">
            <w:pPr>
              <w:autoSpaceDE w:val="0"/>
              <w:autoSpaceDN w:val="0"/>
              <w:adjustRightInd w:val="0"/>
              <w:rPr>
                <w:rFonts w:eastAsia="Calibri"/>
                <w:bCs/>
              </w:rPr>
            </w:pPr>
            <w:r w:rsidRPr="00374D9D">
              <w:rPr>
                <w:rFonts w:eastAsia="Calibri"/>
                <w:bCs/>
              </w:rPr>
              <w:t>При определении были использованы методические рекомендации, описанные в приказе №567 от 02.10.2013</w:t>
            </w:r>
            <w:r w:rsidR="00374D9D" w:rsidRPr="00374D9D">
              <w:rPr>
                <w:rFonts w:eastAsia="Calibri"/>
                <w:bCs/>
              </w:rPr>
              <w:t>.</w:t>
            </w:r>
          </w:p>
          <w:p w:rsidR="00374D9D" w:rsidRPr="00374D9D" w:rsidRDefault="00374D9D" w:rsidP="00374D9D">
            <w:pPr>
              <w:autoSpaceDE w:val="0"/>
              <w:autoSpaceDN w:val="0"/>
              <w:adjustRightInd w:val="0"/>
              <w:rPr>
                <w:rFonts w:eastAsia="Calibri"/>
                <w:bCs/>
              </w:rPr>
            </w:pPr>
          </w:p>
          <w:p w:rsidR="00E9031B" w:rsidRPr="00374D9D" w:rsidRDefault="00E9031B" w:rsidP="00374D9D">
            <w:pPr>
              <w:autoSpaceDE w:val="0"/>
              <w:autoSpaceDN w:val="0"/>
              <w:adjustRightInd w:val="0"/>
              <w:rPr>
                <w:rFonts w:eastAsia="Calibri"/>
                <w:bCs/>
              </w:rPr>
            </w:pPr>
            <w:r w:rsidRPr="00374D9D">
              <w:rPr>
                <w:rFonts w:eastAsia="Calibri"/>
                <w:bCs/>
              </w:rPr>
              <w:t>Приложение № 1 – Расчет НМЦК</w:t>
            </w:r>
          </w:p>
        </w:tc>
      </w:tr>
    </w:tbl>
    <w:p w:rsidR="00F11A94" w:rsidRPr="00F11A94" w:rsidRDefault="00F11A94" w:rsidP="009D4BD7">
      <w:pPr>
        <w:pStyle w:val="ConsPlusNormal"/>
        <w:outlineLvl w:val="1"/>
        <w:rPr>
          <w:lang w:val="en-US"/>
        </w:rPr>
      </w:pPr>
    </w:p>
    <w:sectPr w:rsidR="00F11A94" w:rsidRPr="00F11A94" w:rsidSect="009D4BD7">
      <w:pgSz w:w="11906" w:h="16838"/>
      <w:pgMar w:top="851" w:right="851" w:bottom="113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E53636"/>
    <w:multiLevelType w:val="hybridMultilevel"/>
    <w:tmpl w:val="B19AF1A8"/>
    <w:lvl w:ilvl="0" w:tplc="04190001">
      <w:start w:val="88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1C8"/>
    <w:rsid w:val="00001FE6"/>
    <w:rsid w:val="00037766"/>
    <w:rsid w:val="0007185B"/>
    <w:rsid w:val="00075F13"/>
    <w:rsid w:val="00087DE3"/>
    <w:rsid w:val="000B2540"/>
    <w:rsid w:val="000E0CE3"/>
    <w:rsid w:val="000F0820"/>
    <w:rsid w:val="000F251D"/>
    <w:rsid w:val="00124DE1"/>
    <w:rsid w:val="00152521"/>
    <w:rsid w:val="001731B2"/>
    <w:rsid w:val="001910E2"/>
    <w:rsid w:val="0019119A"/>
    <w:rsid w:val="001E0E0C"/>
    <w:rsid w:val="002022F6"/>
    <w:rsid w:val="00205667"/>
    <w:rsid w:val="00207BE3"/>
    <w:rsid w:val="00221825"/>
    <w:rsid w:val="00226F66"/>
    <w:rsid w:val="00243CDD"/>
    <w:rsid w:val="002B4C62"/>
    <w:rsid w:val="002C7264"/>
    <w:rsid w:val="00302E93"/>
    <w:rsid w:val="003072A4"/>
    <w:rsid w:val="003154A3"/>
    <w:rsid w:val="003267EA"/>
    <w:rsid w:val="00332161"/>
    <w:rsid w:val="003466DD"/>
    <w:rsid w:val="00355F24"/>
    <w:rsid w:val="00373934"/>
    <w:rsid w:val="00374D9D"/>
    <w:rsid w:val="00380852"/>
    <w:rsid w:val="003D5641"/>
    <w:rsid w:val="00457CA5"/>
    <w:rsid w:val="004654E7"/>
    <w:rsid w:val="0047073C"/>
    <w:rsid w:val="004E6949"/>
    <w:rsid w:val="005272E9"/>
    <w:rsid w:val="0054150B"/>
    <w:rsid w:val="005A7E69"/>
    <w:rsid w:val="005D78FF"/>
    <w:rsid w:val="00616AC5"/>
    <w:rsid w:val="00635B3E"/>
    <w:rsid w:val="006655D2"/>
    <w:rsid w:val="00696769"/>
    <w:rsid w:val="006D31B8"/>
    <w:rsid w:val="006D6EC9"/>
    <w:rsid w:val="007212D7"/>
    <w:rsid w:val="00724827"/>
    <w:rsid w:val="00772F81"/>
    <w:rsid w:val="00801977"/>
    <w:rsid w:val="0081031D"/>
    <w:rsid w:val="00810B8C"/>
    <w:rsid w:val="00873898"/>
    <w:rsid w:val="00880091"/>
    <w:rsid w:val="008868A2"/>
    <w:rsid w:val="00895991"/>
    <w:rsid w:val="00962078"/>
    <w:rsid w:val="00981721"/>
    <w:rsid w:val="009B5EFC"/>
    <w:rsid w:val="009C733F"/>
    <w:rsid w:val="009D4BD7"/>
    <w:rsid w:val="00A242E7"/>
    <w:rsid w:val="00A37A6D"/>
    <w:rsid w:val="00A4027A"/>
    <w:rsid w:val="00A42785"/>
    <w:rsid w:val="00A438AA"/>
    <w:rsid w:val="00A521BB"/>
    <w:rsid w:val="00A72DE1"/>
    <w:rsid w:val="00AA0BCE"/>
    <w:rsid w:val="00B22E61"/>
    <w:rsid w:val="00BC6458"/>
    <w:rsid w:val="00BF2F02"/>
    <w:rsid w:val="00C07783"/>
    <w:rsid w:val="00C651C8"/>
    <w:rsid w:val="00C65AFD"/>
    <w:rsid w:val="00C73B55"/>
    <w:rsid w:val="00C97B31"/>
    <w:rsid w:val="00CA3746"/>
    <w:rsid w:val="00CA7998"/>
    <w:rsid w:val="00CD5642"/>
    <w:rsid w:val="00D178EC"/>
    <w:rsid w:val="00D43984"/>
    <w:rsid w:val="00D64305"/>
    <w:rsid w:val="00DA6041"/>
    <w:rsid w:val="00DE6F8E"/>
    <w:rsid w:val="00E17612"/>
    <w:rsid w:val="00E60B3E"/>
    <w:rsid w:val="00E81688"/>
    <w:rsid w:val="00E9031B"/>
    <w:rsid w:val="00EA6359"/>
    <w:rsid w:val="00EB4AAF"/>
    <w:rsid w:val="00ED3682"/>
    <w:rsid w:val="00EF3B4A"/>
    <w:rsid w:val="00F0589E"/>
    <w:rsid w:val="00F11A94"/>
    <w:rsid w:val="00F4017A"/>
    <w:rsid w:val="00F62D34"/>
    <w:rsid w:val="00F63AA8"/>
    <w:rsid w:val="00F80837"/>
    <w:rsid w:val="00FB195B"/>
    <w:rsid w:val="00FB5AF6"/>
    <w:rsid w:val="00FC1287"/>
    <w:rsid w:val="00FC7E96"/>
    <w:rsid w:val="00FD36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A896981-B61F-4504-B4B5-32F6C3232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72DE1"/>
    <w:rPr>
      <w:rFonts w:ascii="Tahoma" w:hAnsi="Tahoma" w:cs="Tahoma"/>
      <w:sz w:val="16"/>
      <w:szCs w:val="16"/>
    </w:rPr>
  </w:style>
  <w:style w:type="table" w:styleId="TableGrid">
    <w:name w:val="Table Grid"/>
    <w:basedOn w:val="TableNormal"/>
    <w:uiPriority w:val="59"/>
    <w:rsid w:val="00001FE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001FE6"/>
    <w:pPr>
      <w:widowControl w:val="0"/>
      <w:autoSpaceDE w:val="0"/>
      <w:autoSpaceDN w:val="0"/>
      <w:adjustRightInd w:val="0"/>
    </w:pPr>
    <w:rPr>
      <w:rFonts w:ascii="Arial" w:hAnsi="Arial" w:cs="Arial"/>
    </w:rPr>
  </w:style>
  <w:style w:type="character" w:styleId="Hyperlink">
    <w:name w:val="Hyperlink"/>
    <w:uiPriority w:val="99"/>
    <w:unhideWhenUsed/>
    <w:rsid w:val="00635B3E"/>
    <w:rPr>
      <w:color w:val="0000FF"/>
      <w:u w:val="single"/>
    </w:rPr>
  </w:style>
  <w:style w:type="character" w:styleId="FollowedHyperlink">
    <w:name w:val="FollowedHyperlink"/>
    <w:rsid w:val="000B2540"/>
    <w:rPr>
      <w:color w:val="800080"/>
      <w:u w:val="single"/>
    </w:rPr>
  </w:style>
  <w:style w:type="character" w:styleId="Emphasis">
    <w:name w:val="Emphasis"/>
    <w:uiPriority w:val="20"/>
    <w:qFormat/>
    <w:rsid w:val="00CA79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1857">
      <w:bodyDiv w:val="1"/>
      <w:marLeft w:val="0"/>
      <w:marRight w:val="0"/>
      <w:marTop w:val="0"/>
      <w:marBottom w:val="0"/>
      <w:divBdr>
        <w:top w:val="none" w:sz="0" w:space="0" w:color="auto"/>
        <w:left w:val="none" w:sz="0" w:space="0" w:color="auto"/>
        <w:bottom w:val="none" w:sz="0" w:space="0" w:color="auto"/>
        <w:right w:val="none" w:sz="0" w:space="0" w:color="auto"/>
      </w:divBdr>
    </w:div>
    <w:div w:id="56369010">
      <w:bodyDiv w:val="1"/>
      <w:marLeft w:val="0"/>
      <w:marRight w:val="0"/>
      <w:marTop w:val="0"/>
      <w:marBottom w:val="0"/>
      <w:divBdr>
        <w:top w:val="none" w:sz="0" w:space="0" w:color="auto"/>
        <w:left w:val="none" w:sz="0" w:space="0" w:color="auto"/>
        <w:bottom w:val="none" w:sz="0" w:space="0" w:color="auto"/>
        <w:right w:val="none" w:sz="0" w:space="0" w:color="auto"/>
      </w:divBdr>
    </w:div>
    <w:div w:id="392042559">
      <w:bodyDiv w:val="1"/>
      <w:marLeft w:val="0"/>
      <w:marRight w:val="0"/>
      <w:marTop w:val="0"/>
      <w:marBottom w:val="0"/>
      <w:divBdr>
        <w:top w:val="none" w:sz="0" w:space="0" w:color="auto"/>
        <w:left w:val="none" w:sz="0" w:space="0" w:color="auto"/>
        <w:bottom w:val="none" w:sz="0" w:space="0" w:color="auto"/>
        <w:right w:val="none" w:sz="0" w:space="0" w:color="auto"/>
      </w:divBdr>
    </w:div>
    <w:div w:id="422456313">
      <w:bodyDiv w:val="1"/>
      <w:marLeft w:val="0"/>
      <w:marRight w:val="0"/>
      <w:marTop w:val="0"/>
      <w:marBottom w:val="0"/>
      <w:divBdr>
        <w:top w:val="none" w:sz="0" w:space="0" w:color="auto"/>
        <w:left w:val="none" w:sz="0" w:space="0" w:color="auto"/>
        <w:bottom w:val="none" w:sz="0" w:space="0" w:color="auto"/>
        <w:right w:val="none" w:sz="0" w:space="0" w:color="auto"/>
      </w:divBdr>
    </w:div>
    <w:div w:id="493305555">
      <w:bodyDiv w:val="1"/>
      <w:marLeft w:val="0"/>
      <w:marRight w:val="0"/>
      <w:marTop w:val="0"/>
      <w:marBottom w:val="0"/>
      <w:divBdr>
        <w:top w:val="none" w:sz="0" w:space="0" w:color="auto"/>
        <w:left w:val="none" w:sz="0" w:space="0" w:color="auto"/>
        <w:bottom w:val="none" w:sz="0" w:space="0" w:color="auto"/>
        <w:right w:val="none" w:sz="0" w:space="0" w:color="auto"/>
      </w:divBdr>
    </w:div>
    <w:div w:id="645352236">
      <w:bodyDiv w:val="1"/>
      <w:marLeft w:val="0"/>
      <w:marRight w:val="0"/>
      <w:marTop w:val="0"/>
      <w:marBottom w:val="0"/>
      <w:divBdr>
        <w:top w:val="none" w:sz="0" w:space="0" w:color="auto"/>
        <w:left w:val="none" w:sz="0" w:space="0" w:color="auto"/>
        <w:bottom w:val="none" w:sz="0" w:space="0" w:color="auto"/>
        <w:right w:val="none" w:sz="0" w:space="0" w:color="auto"/>
      </w:divBdr>
    </w:div>
    <w:div w:id="652637958">
      <w:bodyDiv w:val="1"/>
      <w:marLeft w:val="0"/>
      <w:marRight w:val="0"/>
      <w:marTop w:val="0"/>
      <w:marBottom w:val="0"/>
      <w:divBdr>
        <w:top w:val="none" w:sz="0" w:space="0" w:color="auto"/>
        <w:left w:val="none" w:sz="0" w:space="0" w:color="auto"/>
        <w:bottom w:val="none" w:sz="0" w:space="0" w:color="auto"/>
        <w:right w:val="none" w:sz="0" w:space="0" w:color="auto"/>
      </w:divBdr>
    </w:div>
    <w:div w:id="745346923">
      <w:bodyDiv w:val="1"/>
      <w:marLeft w:val="0"/>
      <w:marRight w:val="0"/>
      <w:marTop w:val="0"/>
      <w:marBottom w:val="0"/>
      <w:divBdr>
        <w:top w:val="none" w:sz="0" w:space="0" w:color="auto"/>
        <w:left w:val="none" w:sz="0" w:space="0" w:color="auto"/>
        <w:bottom w:val="none" w:sz="0" w:space="0" w:color="auto"/>
        <w:right w:val="none" w:sz="0" w:space="0" w:color="auto"/>
      </w:divBdr>
    </w:div>
    <w:div w:id="831484047">
      <w:bodyDiv w:val="1"/>
      <w:marLeft w:val="0"/>
      <w:marRight w:val="0"/>
      <w:marTop w:val="0"/>
      <w:marBottom w:val="0"/>
      <w:divBdr>
        <w:top w:val="none" w:sz="0" w:space="0" w:color="auto"/>
        <w:left w:val="none" w:sz="0" w:space="0" w:color="auto"/>
        <w:bottom w:val="none" w:sz="0" w:space="0" w:color="auto"/>
        <w:right w:val="none" w:sz="0" w:space="0" w:color="auto"/>
      </w:divBdr>
    </w:div>
    <w:div w:id="1006447292">
      <w:bodyDiv w:val="1"/>
      <w:marLeft w:val="0"/>
      <w:marRight w:val="0"/>
      <w:marTop w:val="0"/>
      <w:marBottom w:val="0"/>
      <w:divBdr>
        <w:top w:val="none" w:sz="0" w:space="0" w:color="auto"/>
        <w:left w:val="none" w:sz="0" w:space="0" w:color="auto"/>
        <w:bottom w:val="none" w:sz="0" w:space="0" w:color="auto"/>
        <w:right w:val="none" w:sz="0" w:space="0" w:color="auto"/>
      </w:divBdr>
    </w:div>
    <w:div w:id="1237932264">
      <w:bodyDiv w:val="1"/>
      <w:marLeft w:val="0"/>
      <w:marRight w:val="0"/>
      <w:marTop w:val="0"/>
      <w:marBottom w:val="0"/>
      <w:divBdr>
        <w:top w:val="none" w:sz="0" w:space="0" w:color="auto"/>
        <w:left w:val="none" w:sz="0" w:space="0" w:color="auto"/>
        <w:bottom w:val="none" w:sz="0" w:space="0" w:color="auto"/>
        <w:right w:val="none" w:sz="0" w:space="0" w:color="auto"/>
      </w:divBdr>
    </w:div>
    <w:div w:id="1304575578">
      <w:bodyDiv w:val="1"/>
      <w:marLeft w:val="0"/>
      <w:marRight w:val="0"/>
      <w:marTop w:val="0"/>
      <w:marBottom w:val="0"/>
      <w:divBdr>
        <w:top w:val="none" w:sz="0" w:space="0" w:color="auto"/>
        <w:left w:val="none" w:sz="0" w:space="0" w:color="auto"/>
        <w:bottom w:val="none" w:sz="0" w:space="0" w:color="auto"/>
        <w:right w:val="none" w:sz="0" w:space="0" w:color="auto"/>
      </w:divBdr>
    </w:div>
    <w:div w:id="1481573871">
      <w:bodyDiv w:val="1"/>
      <w:marLeft w:val="0"/>
      <w:marRight w:val="0"/>
      <w:marTop w:val="0"/>
      <w:marBottom w:val="0"/>
      <w:divBdr>
        <w:top w:val="none" w:sz="0" w:space="0" w:color="auto"/>
        <w:left w:val="none" w:sz="0" w:space="0" w:color="auto"/>
        <w:bottom w:val="none" w:sz="0" w:space="0" w:color="auto"/>
        <w:right w:val="none" w:sz="0" w:space="0" w:color="auto"/>
      </w:divBdr>
    </w:div>
    <w:div w:id="1569682457">
      <w:bodyDiv w:val="1"/>
      <w:marLeft w:val="0"/>
      <w:marRight w:val="0"/>
      <w:marTop w:val="0"/>
      <w:marBottom w:val="0"/>
      <w:divBdr>
        <w:top w:val="none" w:sz="0" w:space="0" w:color="auto"/>
        <w:left w:val="none" w:sz="0" w:space="0" w:color="auto"/>
        <w:bottom w:val="none" w:sz="0" w:space="0" w:color="auto"/>
        <w:right w:val="none" w:sz="0" w:space="0" w:color="auto"/>
      </w:divBdr>
    </w:div>
    <w:div w:id="167040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1</Pages>
  <Words>279</Words>
  <Characters>1968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КТТП</Company>
  <LinksUpToDate>false</LinksUpToDate>
  <CharactersWithSpaces>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Алексей Львов</dc:creator>
  <cp:keywords/>
  <cp:lastModifiedBy>Павел Холодков</cp:lastModifiedBy>
  <cp:revision>7</cp:revision>
  <cp:lastPrinted>2014-01-19T19:13:00Z</cp:lastPrinted>
  <dcterms:created xsi:type="dcterms:W3CDTF">2014-04-01T08:24:00Z</dcterms:created>
  <dcterms:modified xsi:type="dcterms:W3CDTF">2014-04-07T10:52:00Z</dcterms:modified>
</cp:coreProperties>
</file>